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6D" w:rsidRDefault="005F3E6D" w:rsidP="005F3E6D">
      <w:pPr>
        <w:autoSpaceDE w:val="0"/>
        <w:autoSpaceDN w:val="0"/>
        <w:adjustRightInd w:val="0"/>
        <w:rPr>
          <w:rFonts w:asciiTheme="minorHAnsi" w:hAnsiTheme="minorHAnsi" w:cstheme="minorHAnsi"/>
          <w:b/>
          <w:bCs/>
          <w:sz w:val="28"/>
          <w:szCs w:val="28"/>
        </w:rPr>
      </w:pPr>
      <w:r>
        <w:rPr>
          <w:noProof/>
        </w:rPr>
        <w:drawing>
          <wp:inline distT="0" distB="0" distL="0" distR="0" wp14:anchorId="266D942B" wp14:editId="54DA038C">
            <wp:extent cx="1600200" cy="304800"/>
            <wp:effectExtent l="0" t="0" r="0" b="0"/>
            <wp:docPr id="2" name="Picture 1" descr="C:\Documents and Settings\karikan\Application Data\Microsoft\Signatures\clevelandcl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ikan\Application Data\Microsoft\Signatures\clevelandclin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304800"/>
                    </a:xfrm>
                    <a:prstGeom prst="rect">
                      <a:avLst/>
                    </a:prstGeom>
                    <a:noFill/>
                    <a:ln>
                      <a:noFill/>
                    </a:ln>
                  </pic:spPr>
                </pic:pic>
              </a:graphicData>
            </a:graphic>
          </wp:inline>
        </w:drawing>
      </w:r>
    </w:p>
    <w:p w:rsidR="005F3E6D" w:rsidRDefault="005F3E6D" w:rsidP="008608C3">
      <w:pPr>
        <w:autoSpaceDE w:val="0"/>
        <w:autoSpaceDN w:val="0"/>
        <w:adjustRightInd w:val="0"/>
        <w:jc w:val="center"/>
        <w:rPr>
          <w:rFonts w:asciiTheme="minorHAnsi" w:hAnsiTheme="minorHAnsi" w:cstheme="minorHAnsi"/>
          <w:b/>
          <w:bCs/>
          <w:sz w:val="28"/>
          <w:szCs w:val="28"/>
        </w:rPr>
      </w:pPr>
    </w:p>
    <w:p w:rsidR="008608C3" w:rsidRPr="00DA25D4" w:rsidRDefault="008608C3" w:rsidP="008608C3">
      <w:pPr>
        <w:autoSpaceDE w:val="0"/>
        <w:autoSpaceDN w:val="0"/>
        <w:adjustRightInd w:val="0"/>
        <w:jc w:val="center"/>
        <w:rPr>
          <w:rFonts w:asciiTheme="minorHAnsi" w:hAnsiTheme="minorHAnsi" w:cstheme="minorHAnsi"/>
          <w:b/>
          <w:bCs/>
          <w:sz w:val="28"/>
          <w:szCs w:val="28"/>
        </w:rPr>
      </w:pPr>
      <w:r w:rsidRPr="00DA25D4">
        <w:rPr>
          <w:rFonts w:asciiTheme="minorHAnsi" w:hAnsiTheme="minorHAnsi" w:cstheme="minorHAnsi"/>
          <w:b/>
          <w:bCs/>
          <w:sz w:val="28"/>
          <w:szCs w:val="28"/>
        </w:rPr>
        <w:t>EHP Healthy Choice Coordinated Care Asthma Medication</w:t>
      </w:r>
    </w:p>
    <w:p w:rsidR="008608C3" w:rsidRPr="00DA25D4" w:rsidRDefault="008608C3" w:rsidP="008608C3">
      <w:pPr>
        <w:jc w:val="center"/>
        <w:rPr>
          <w:rFonts w:asciiTheme="minorHAnsi" w:hAnsiTheme="minorHAnsi" w:cstheme="minorHAnsi"/>
          <w:sz w:val="24"/>
          <w:szCs w:val="24"/>
        </w:rPr>
      </w:pPr>
      <w:r w:rsidRPr="00DA25D4">
        <w:rPr>
          <w:rFonts w:asciiTheme="minorHAnsi" w:hAnsiTheme="minorHAnsi" w:cstheme="minorHAnsi"/>
          <w:b/>
          <w:bCs/>
          <w:sz w:val="28"/>
          <w:szCs w:val="28"/>
        </w:rPr>
        <w:t>Reimbursement List</w:t>
      </w:r>
      <w:r w:rsidR="005F3E6D">
        <w:rPr>
          <w:rFonts w:asciiTheme="minorHAnsi" w:hAnsiTheme="minorHAnsi" w:cstheme="minorHAnsi"/>
          <w:b/>
          <w:bCs/>
          <w:sz w:val="28"/>
          <w:szCs w:val="28"/>
        </w:rPr>
        <w:t xml:space="preserve"> </w:t>
      </w:r>
    </w:p>
    <w:p w:rsidR="008608C3" w:rsidRDefault="008608C3" w:rsidP="008608C3">
      <w:pPr>
        <w:rPr>
          <w:sz w:val="24"/>
          <w:szCs w:val="24"/>
        </w:rPr>
      </w:pPr>
    </w:p>
    <w:p w:rsidR="00DF5626" w:rsidRDefault="00DF5626" w:rsidP="00DF5626">
      <w:pPr>
        <w:rPr>
          <w:sz w:val="24"/>
          <w:szCs w:val="24"/>
        </w:rPr>
      </w:pPr>
      <w:r>
        <w:rPr>
          <w:sz w:val="24"/>
          <w:szCs w:val="24"/>
        </w:rPr>
        <w:t xml:space="preserve">Below, please find a list of medications that are able to be reimbursed as part of this EHP Healthy Choice Coordinated Care program for members who qualify for reimbursement.  Medications are categorized below by their availability as a brand or generic.  </w:t>
      </w:r>
      <w:r w:rsidR="00982CC9" w:rsidRPr="001D21DD">
        <w:rPr>
          <w:sz w:val="24"/>
          <w:szCs w:val="24"/>
        </w:rPr>
        <w:t xml:space="preserve">Medications that are generically available will only be eligible for copay/co-insurance reimbursement when the generic medication is filled, unless members have a prior authorization from the EHP Pharmacy Management department on file for the brand medication.  </w:t>
      </w:r>
      <w:r w:rsidR="00982CC9" w:rsidRPr="001D21DD">
        <w:rPr>
          <w:color w:val="FF0000"/>
          <w:sz w:val="24"/>
          <w:szCs w:val="24"/>
        </w:rPr>
        <w:t xml:space="preserve">If a brand medication recently becomes available as generic, members will be notified of an effective date that the brand formulation will no longer be reimbursable. </w:t>
      </w:r>
      <w:r w:rsidR="00982CC9">
        <w:rPr>
          <w:color w:val="FF0000"/>
          <w:sz w:val="24"/>
          <w:szCs w:val="24"/>
        </w:rPr>
        <w:t xml:space="preserve"> </w:t>
      </w:r>
      <w:r w:rsidR="00982CC9" w:rsidRPr="001D21DD">
        <w:rPr>
          <w:color w:val="FF0000"/>
          <w:sz w:val="24"/>
          <w:szCs w:val="24"/>
        </w:rPr>
        <w:t>Before that effective date, if a member or physician requests a brand name drug be dispensed when a generic is available, the member is required to pay the generic co-insurance AND the cost difference between the brand name drug price and the generic drug price.</w:t>
      </w:r>
      <w:r w:rsidR="00982CC9">
        <w:rPr>
          <w:color w:val="FF0000"/>
          <w:sz w:val="24"/>
          <w:szCs w:val="24"/>
        </w:rPr>
        <w:t xml:space="preserve">  </w:t>
      </w:r>
      <w:r w:rsidR="00982CC9" w:rsidRPr="001D21DD">
        <w:rPr>
          <w:color w:val="FF0000"/>
          <w:sz w:val="24"/>
          <w:szCs w:val="24"/>
        </w:rPr>
        <w:t>The cost difference is known as a DAW penalty. When a DAW penalty is applied it will not be reimbursed.</w:t>
      </w:r>
      <w:r w:rsidR="00982CC9">
        <w:rPr>
          <w:color w:val="FF0000"/>
          <w:sz w:val="24"/>
          <w:szCs w:val="24"/>
        </w:rPr>
        <w:t xml:space="preserve"> </w:t>
      </w:r>
      <w:r w:rsidR="00982CC9" w:rsidRPr="001D21DD">
        <w:rPr>
          <w:color w:val="FF0000"/>
          <w:sz w:val="24"/>
          <w:szCs w:val="24"/>
        </w:rPr>
        <w:t xml:space="preserve"> </w:t>
      </w:r>
      <w:r w:rsidRPr="00FB5037">
        <w:rPr>
          <w:color w:val="FF0000"/>
          <w:sz w:val="24"/>
          <w:szCs w:val="24"/>
        </w:rPr>
        <w:t xml:space="preserve">Medications that require prior authorization will have (PA) listed after the name of the medication.  Medications that are part of the Step Therapy Program will have (step therapy) after the name of the medication.  </w:t>
      </w:r>
      <w:r w:rsidRPr="00FB5037">
        <w:rPr>
          <w:sz w:val="24"/>
          <w:szCs w:val="24"/>
        </w:rPr>
        <w:t>To qualify for pharmacy reim</w:t>
      </w:r>
      <w:r w:rsidRPr="00FB5037">
        <w:rPr>
          <w:sz w:val="24"/>
          <w:szCs w:val="24"/>
        </w:rPr>
        <w:lastRenderedPageBreak/>
        <w:t>bursement, member</w:t>
      </w:r>
      <w:r>
        <w:rPr>
          <w:sz w:val="24"/>
          <w:szCs w:val="24"/>
        </w:rPr>
        <w:t>s</w:t>
      </w:r>
      <w:r w:rsidRPr="00FB5037">
        <w:rPr>
          <w:sz w:val="24"/>
          <w:szCs w:val="24"/>
        </w:rPr>
        <w:t xml:space="preserve"> must provide the original tax receipt provided</w:t>
      </w:r>
      <w:r>
        <w:rPr>
          <w:sz w:val="24"/>
          <w:szCs w:val="24"/>
        </w:rPr>
        <w:t xml:space="preserve"> </w:t>
      </w:r>
      <w:r w:rsidRPr="00FB5037">
        <w:rPr>
          <w:sz w:val="24"/>
          <w:szCs w:val="24"/>
        </w:rPr>
        <w:t xml:space="preserve">by a Cleveland Clinic/Akron General Pharmacy </w:t>
      </w:r>
      <w:r w:rsidRPr="00CA72F8">
        <w:rPr>
          <w:b/>
          <w:sz w:val="24"/>
          <w:szCs w:val="24"/>
        </w:rPr>
        <w:t>AND</w:t>
      </w:r>
      <w:r w:rsidRPr="00FB5037">
        <w:rPr>
          <w:sz w:val="24"/>
          <w:szCs w:val="24"/>
        </w:rPr>
        <w:t xml:space="preserve"> the cash register receipt. </w:t>
      </w:r>
      <w:r>
        <w:rPr>
          <w:sz w:val="24"/>
          <w:szCs w:val="24"/>
        </w:rPr>
        <w:t xml:space="preserve"> </w:t>
      </w:r>
      <w:r w:rsidRPr="00FB5037">
        <w:rPr>
          <w:sz w:val="24"/>
          <w:szCs w:val="24"/>
        </w:rPr>
        <w:t>Both must be</w:t>
      </w:r>
      <w:r>
        <w:rPr>
          <w:sz w:val="24"/>
          <w:szCs w:val="24"/>
        </w:rPr>
        <w:t xml:space="preserve"> </w:t>
      </w:r>
      <w:r w:rsidRPr="00FB5037">
        <w:rPr>
          <w:sz w:val="24"/>
          <w:szCs w:val="24"/>
        </w:rPr>
        <w:t>provided to request reimbursement.</w:t>
      </w:r>
      <w:r>
        <w:rPr>
          <w:sz w:val="24"/>
          <w:szCs w:val="24"/>
        </w:rPr>
        <w:t xml:space="preserve">  </w:t>
      </w:r>
      <w:r w:rsidRPr="00FB5037">
        <w:rPr>
          <w:sz w:val="24"/>
          <w:szCs w:val="24"/>
        </w:rPr>
        <w:t xml:space="preserve">Only monies actually paid out-of-pocket will be reimbursed. </w:t>
      </w:r>
      <w:r>
        <w:rPr>
          <w:sz w:val="24"/>
          <w:szCs w:val="24"/>
        </w:rPr>
        <w:t xml:space="preserve"> </w:t>
      </w:r>
      <w:r w:rsidRPr="00FB5037">
        <w:rPr>
          <w:sz w:val="24"/>
          <w:szCs w:val="24"/>
        </w:rPr>
        <w:t>Drug manufacturer coupons used to</w:t>
      </w:r>
      <w:r>
        <w:rPr>
          <w:sz w:val="24"/>
          <w:szCs w:val="24"/>
        </w:rPr>
        <w:t xml:space="preserve"> </w:t>
      </w:r>
      <w:r w:rsidRPr="00FB5037">
        <w:rPr>
          <w:sz w:val="24"/>
          <w:szCs w:val="24"/>
        </w:rPr>
        <w:t>pay the deductible will not be reimbursed.</w:t>
      </w:r>
      <w:r>
        <w:rPr>
          <w:sz w:val="24"/>
          <w:szCs w:val="24"/>
        </w:rPr>
        <w:t xml:space="preserve">  </w:t>
      </w:r>
      <w:r w:rsidRPr="00FB5037">
        <w:rPr>
          <w:sz w:val="24"/>
          <w:szCs w:val="24"/>
        </w:rPr>
        <w:t xml:space="preserve">The deductible is the member’s responsibility. </w:t>
      </w:r>
      <w:r>
        <w:rPr>
          <w:sz w:val="24"/>
          <w:szCs w:val="24"/>
        </w:rPr>
        <w:t xml:space="preserve"> </w:t>
      </w:r>
      <w:r w:rsidRPr="00FB5037">
        <w:rPr>
          <w:sz w:val="24"/>
          <w:szCs w:val="24"/>
        </w:rPr>
        <w:t>Any</w:t>
      </w:r>
      <w:r>
        <w:rPr>
          <w:sz w:val="24"/>
          <w:szCs w:val="24"/>
        </w:rPr>
        <w:t xml:space="preserve"> </w:t>
      </w:r>
      <w:r w:rsidRPr="00FB5037">
        <w:rPr>
          <w:sz w:val="24"/>
          <w:szCs w:val="24"/>
        </w:rPr>
        <w:t>fraudulent receipts submitted will disqualify the member for future reimbursements in the</w:t>
      </w:r>
      <w:r>
        <w:rPr>
          <w:sz w:val="24"/>
          <w:szCs w:val="24"/>
        </w:rPr>
        <w:t xml:space="preserve"> </w:t>
      </w:r>
      <w:r w:rsidRPr="00FB5037">
        <w:rPr>
          <w:sz w:val="24"/>
          <w:szCs w:val="24"/>
        </w:rPr>
        <w:t>program</w:t>
      </w:r>
      <w:r>
        <w:rPr>
          <w:sz w:val="24"/>
          <w:szCs w:val="24"/>
        </w:rPr>
        <w:t xml:space="preserve">.  </w:t>
      </w:r>
      <w:r w:rsidRPr="00FB5037">
        <w:rPr>
          <w:sz w:val="24"/>
          <w:szCs w:val="24"/>
        </w:rPr>
        <w:t>If EHP member</w:t>
      </w:r>
      <w:r>
        <w:rPr>
          <w:sz w:val="24"/>
          <w:szCs w:val="24"/>
        </w:rPr>
        <w:t>s are</w:t>
      </w:r>
      <w:r w:rsidRPr="00FB5037">
        <w:rPr>
          <w:sz w:val="24"/>
          <w:szCs w:val="24"/>
        </w:rPr>
        <w:t xml:space="preserve"> enrolled in a Healthy Choice Coordinated Care program and </w:t>
      </w:r>
      <w:r>
        <w:rPr>
          <w:sz w:val="24"/>
          <w:szCs w:val="24"/>
        </w:rPr>
        <w:t>are</w:t>
      </w:r>
      <w:r w:rsidRPr="00FB5037">
        <w:rPr>
          <w:sz w:val="24"/>
          <w:szCs w:val="24"/>
        </w:rPr>
        <w:t xml:space="preserve"> eligible for</w:t>
      </w:r>
      <w:r>
        <w:rPr>
          <w:sz w:val="24"/>
          <w:szCs w:val="24"/>
        </w:rPr>
        <w:t xml:space="preserve"> </w:t>
      </w:r>
      <w:r w:rsidRPr="00FB5037">
        <w:rPr>
          <w:sz w:val="24"/>
          <w:szCs w:val="24"/>
        </w:rPr>
        <w:t>medication reimbursement, the member</w:t>
      </w:r>
      <w:r>
        <w:rPr>
          <w:sz w:val="24"/>
          <w:szCs w:val="24"/>
        </w:rPr>
        <w:t>s</w:t>
      </w:r>
      <w:r w:rsidRPr="00FB5037">
        <w:rPr>
          <w:sz w:val="24"/>
          <w:szCs w:val="24"/>
        </w:rPr>
        <w:t xml:space="preserve"> must utilize a Cleveland Clinic/Akron General</w:t>
      </w:r>
      <w:r>
        <w:rPr>
          <w:sz w:val="24"/>
          <w:szCs w:val="24"/>
        </w:rPr>
        <w:t xml:space="preserve"> </w:t>
      </w:r>
      <w:r w:rsidRPr="00FB5037">
        <w:rPr>
          <w:sz w:val="24"/>
          <w:szCs w:val="24"/>
        </w:rPr>
        <w:t xml:space="preserve">Pharmacy to qualify for medication reimbursement. </w:t>
      </w:r>
      <w:r>
        <w:rPr>
          <w:sz w:val="24"/>
          <w:szCs w:val="24"/>
        </w:rPr>
        <w:t xml:space="preserve"> </w:t>
      </w:r>
      <w:r w:rsidRPr="00FB5037">
        <w:rPr>
          <w:sz w:val="24"/>
          <w:szCs w:val="24"/>
        </w:rPr>
        <w:t>Medications obtained from the</w:t>
      </w:r>
      <w:r>
        <w:rPr>
          <w:sz w:val="24"/>
          <w:szCs w:val="24"/>
        </w:rPr>
        <w:t xml:space="preserve"> </w:t>
      </w:r>
      <w:r w:rsidRPr="00FB5037">
        <w:rPr>
          <w:sz w:val="24"/>
          <w:szCs w:val="24"/>
        </w:rPr>
        <w:t>CVS/caremark Mail Service Program are not reimbursable.</w:t>
      </w:r>
      <w:r>
        <w:rPr>
          <w:sz w:val="24"/>
          <w:szCs w:val="24"/>
        </w:rPr>
        <w:t xml:space="preserve">  If you have any remaining questions regarding qualifying for reimbursement as it pertains to medications in this list, please refer to the Cleveland Clinic/Akron General Employee Health Plan(s) Coordinated Care Incentive FAQ found on the EHP website at </w:t>
      </w:r>
      <w:hyperlink r:id="rId7" w:history="1">
        <w:r w:rsidR="008372AF" w:rsidRPr="00356406">
          <w:rPr>
            <w:rStyle w:val="Hyperlink"/>
            <w:sz w:val="24"/>
            <w:szCs w:val="24"/>
          </w:rPr>
          <w:t>https://employeehealthplan.clevelandclinic.org/EmployeeHealthPlan/media/CCF-EHP/Coordinated%20Care/Coordinated-Care-Incentive-FAQ-for-2022-V3.pdf</w:t>
        </w:r>
      </w:hyperlink>
      <w:r w:rsidR="008372AF">
        <w:rPr>
          <w:color w:val="993366"/>
          <w:sz w:val="24"/>
          <w:szCs w:val="24"/>
        </w:rPr>
        <w:t xml:space="preserve"> </w:t>
      </w:r>
      <w:r w:rsidRPr="00CA72F8">
        <w:rPr>
          <w:sz w:val="24"/>
          <w:szCs w:val="24"/>
        </w:rPr>
        <w:t xml:space="preserve">or </w:t>
      </w:r>
      <w:r>
        <w:rPr>
          <w:sz w:val="24"/>
          <w:szCs w:val="24"/>
        </w:rPr>
        <w:t>contact your Care Coordinator.</w:t>
      </w:r>
    </w:p>
    <w:p w:rsidR="00DC69D7" w:rsidRDefault="00DC69D7" w:rsidP="008608C3">
      <w:pPr>
        <w:rPr>
          <w:color w:val="1F497D"/>
          <w:sz w:val="24"/>
          <w:szCs w:val="24"/>
        </w:rPr>
      </w:pPr>
    </w:p>
    <w:p w:rsidR="00D821B0" w:rsidRDefault="00D821B0"/>
    <w:p w:rsidR="00DC69D7" w:rsidRDefault="00DC69D7">
      <w:pPr>
        <w:rPr>
          <w:b/>
          <w:u w:val="single"/>
        </w:rPr>
        <w:sectPr w:rsidR="00DC69D7" w:rsidSect="00F1778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DC69D7" w:rsidRDefault="00DC69D7">
      <w:pPr>
        <w:rPr>
          <w:b/>
          <w:u w:val="single"/>
        </w:rPr>
      </w:pPr>
      <w:r w:rsidRPr="00DC69D7">
        <w:rPr>
          <w:b/>
          <w:u w:val="single"/>
        </w:rPr>
        <w:t>Brand</w:t>
      </w:r>
    </w:p>
    <w:p w:rsidR="00B370FC" w:rsidRDefault="00B370FC">
      <w:r>
        <w:t>Advair HFA</w:t>
      </w:r>
    </w:p>
    <w:p w:rsidR="00DC69D7" w:rsidRDefault="00DC69D7">
      <w:r>
        <w:t>Arnuity Ellipta</w:t>
      </w:r>
    </w:p>
    <w:p w:rsidR="00DC69D7" w:rsidRDefault="00DC69D7">
      <w:r>
        <w:t xml:space="preserve">Asmanex HFA </w:t>
      </w:r>
    </w:p>
    <w:p w:rsidR="00DC69D7" w:rsidRDefault="00DC69D7">
      <w:r>
        <w:t xml:space="preserve">Asmanex Twisthaler </w:t>
      </w:r>
    </w:p>
    <w:p w:rsidR="00B370FC" w:rsidRDefault="00B370FC" w:rsidP="00B370FC">
      <w:bookmarkStart w:id="0" w:name="_GoBack"/>
      <w:r>
        <w:lastRenderedPageBreak/>
        <w:t>Breo</w:t>
      </w:r>
      <w:bookmarkEnd w:id="0"/>
      <w:r>
        <w:t xml:space="preserve"> Ellipta</w:t>
      </w:r>
    </w:p>
    <w:p w:rsidR="00B370FC" w:rsidRDefault="00B370FC" w:rsidP="00B370FC">
      <w:r>
        <w:t>Cinqair (PA)</w:t>
      </w:r>
    </w:p>
    <w:p w:rsidR="00B370FC" w:rsidRDefault="00B370FC">
      <w:r>
        <w:t>Dulera (PA)</w:t>
      </w:r>
    </w:p>
    <w:p w:rsidR="00B370FC" w:rsidRDefault="00B370FC">
      <w:r>
        <w:t>Dupixent (PA)</w:t>
      </w:r>
    </w:p>
    <w:p w:rsidR="00B370FC" w:rsidRDefault="00B370FC">
      <w:r>
        <w:t>Fasenra (PA)</w:t>
      </w:r>
    </w:p>
    <w:p w:rsidR="00DC69D7" w:rsidRDefault="00DC69D7">
      <w:r>
        <w:t>Flovent Diskus</w:t>
      </w:r>
    </w:p>
    <w:p w:rsidR="00DC69D7" w:rsidRDefault="00DC69D7">
      <w:r>
        <w:t>Flovent HFA</w:t>
      </w:r>
    </w:p>
    <w:p w:rsidR="004A5BF4" w:rsidRDefault="004A5BF4">
      <w:r>
        <w:t>Fluticasone Propionate HFA</w:t>
      </w:r>
    </w:p>
    <w:p w:rsidR="004A5BF4" w:rsidRDefault="004A5BF4">
      <w:r>
        <w:t>Fluticasone Furoate/Vilanterol Ellipta</w:t>
      </w:r>
    </w:p>
    <w:p w:rsidR="00B370FC" w:rsidRDefault="00B370FC">
      <w:r>
        <w:t>Nucala (PA)</w:t>
      </w:r>
    </w:p>
    <w:p w:rsidR="004A5BF4" w:rsidRPr="004A5BF4" w:rsidRDefault="004A5BF4">
      <w:pPr>
        <w:rPr>
          <w:b/>
        </w:rPr>
      </w:pPr>
      <w:r>
        <w:rPr>
          <w:b/>
          <w:u w:val="single"/>
        </w:rPr>
        <w:t>Brand</w:t>
      </w:r>
      <w:r w:rsidRPr="0075480B">
        <w:rPr>
          <w:b/>
        </w:rPr>
        <w:t xml:space="preserve"> (cont.)</w:t>
      </w:r>
    </w:p>
    <w:p w:rsidR="00DC69D7" w:rsidRDefault="00DC69D7">
      <w:r>
        <w:t>Pulmicort Flexhaler</w:t>
      </w:r>
    </w:p>
    <w:p w:rsidR="00DC69D7" w:rsidRDefault="00DC69D7">
      <w:r>
        <w:t>Qvar Redihaler</w:t>
      </w:r>
    </w:p>
    <w:p w:rsidR="00DC69D7" w:rsidRDefault="00DC69D7">
      <w:r>
        <w:t>Serevent Diskus</w:t>
      </w:r>
    </w:p>
    <w:p w:rsidR="00DC69D7" w:rsidRDefault="00DC69D7">
      <w:r>
        <w:t>Spiriva Respimat 2.5 mcg/actuation</w:t>
      </w:r>
    </w:p>
    <w:p w:rsidR="00570BB9" w:rsidRDefault="00570BB9">
      <w:r>
        <w:t>Trelegy Ellipta (PA)</w:t>
      </w:r>
    </w:p>
    <w:p w:rsidR="00DC69D7" w:rsidRDefault="00DC69D7">
      <w:r>
        <w:t>Xolair (PA)</w:t>
      </w:r>
    </w:p>
    <w:p w:rsidR="008972F2" w:rsidRDefault="008972F2"/>
    <w:p w:rsidR="00DC69D7" w:rsidRDefault="00DC69D7">
      <w:pPr>
        <w:rPr>
          <w:b/>
          <w:u w:val="single"/>
        </w:rPr>
      </w:pPr>
      <w:r>
        <w:rPr>
          <w:b/>
          <w:u w:val="single"/>
        </w:rPr>
        <w:t>Generic</w:t>
      </w:r>
    </w:p>
    <w:p w:rsidR="00092096" w:rsidRDefault="00092096">
      <w:r>
        <w:t>Albuterol sulfate HFA</w:t>
      </w:r>
    </w:p>
    <w:p w:rsidR="00092096" w:rsidRDefault="00092096">
      <w:r>
        <w:t>Albuterol sulfate nebulization solution</w:t>
      </w:r>
    </w:p>
    <w:p w:rsidR="00F6325E" w:rsidRDefault="00F6325E">
      <w:r>
        <w:t>Albuterol sulfate ER tablet</w:t>
      </w:r>
    </w:p>
    <w:p w:rsidR="004A5BF4" w:rsidRDefault="00F6325E">
      <w:r>
        <w:lastRenderedPageBreak/>
        <w:t>Albuterol sulfate tablet or syrup</w:t>
      </w:r>
    </w:p>
    <w:p w:rsidR="00F6325E" w:rsidRDefault="00F6325E">
      <w:r>
        <w:t>Aminophylline</w:t>
      </w:r>
    </w:p>
    <w:p w:rsidR="00C848B2" w:rsidRPr="004A5BF4" w:rsidRDefault="00620266">
      <w:r>
        <w:t>Budesonide/</w:t>
      </w:r>
      <w:r w:rsidR="009005F5">
        <w:t>F</w:t>
      </w:r>
      <w:r w:rsidR="00E365D3">
        <w:t>ormoterol</w:t>
      </w:r>
    </w:p>
    <w:p w:rsidR="004A5BF4" w:rsidRDefault="004A5BF4">
      <w:r w:rsidRPr="0075480B">
        <w:rPr>
          <w:b/>
          <w:u w:val="single"/>
        </w:rPr>
        <w:t>Generic</w:t>
      </w:r>
      <w:r w:rsidRPr="0075480B">
        <w:rPr>
          <w:b/>
        </w:rPr>
        <w:t xml:space="preserve"> (cont.)</w:t>
      </w:r>
    </w:p>
    <w:p w:rsidR="00DC69D7" w:rsidRDefault="00DC69D7">
      <w:r>
        <w:t xml:space="preserve">Budesonide </w:t>
      </w:r>
      <w:r w:rsidR="004A5BF4">
        <w:t>nebulizer solution</w:t>
      </w:r>
    </w:p>
    <w:p w:rsidR="00F6325E" w:rsidRDefault="00F6325E">
      <w:r>
        <w:t>Cromolyn sodium inhalation solution</w:t>
      </w:r>
    </w:p>
    <w:p w:rsidR="00F6325E" w:rsidRDefault="00F6325E">
      <w:r>
        <w:t>Epinephrine Pen</w:t>
      </w:r>
    </w:p>
    <w:p w:rsidR="00DC69D7" w:rsidRDefault="00620266">
      <w:r>
        <w:t>Fluticasone propionate/</w:t>
      </w:r>
      <w:r w:rsidR="009005F5">
        <w:t>S</w:t>
      </w:r>
      <w:r w:rsidR="00FA7594">
        <w:t>al</w:t>
      </w:r>
      <w:r w:rsidR="00DC69D7">
        <w:t>m</w:t>
      </w:r>
      <w:r w:rsidR="00FA7594">
        <w:t>e</w:t>
      </w:r>
      <w:r w:rsidR="00DC69D7">
        <w:t xml:space="preserve">terol </w:t>
      </w:r>
      <w:r>
        <w:t>diskus</w:t>
      </w:r>
    </w:p>
    <w:p w:rsidR="00CA3705" w:rsidRDefault="00CA3705">
      <w:r>
        <w:t>Levalbuterol HFA</w:t>
      </w:r>
    </w:p>
    <w:p w:rsidR="00CA3705" w:rsidRDefault="00CA3705">
      <w:r>
        <w:t>Levalbuterol nebulization solution</w:t>
      </w:r>
    </w:p>
    <w:p w:rsidR="00F6325E" w:rsidRDefault="00F6325E">
      <w:r>
        <w:t>Metaproterenol tablet or syrup</w:t>
      </w:r>
    </w:p>
    <w:p w:rsidR="00F6325E" w:rsidRPr="00F6325E" w:rsidRDefault="00F6325E">
      <w:pPr>
        <w:rPr>
          <w:i/>
        </w:rPr>
      </w:pPr>
      <w:r>
        <w:t xml:space="preserve">Montelukast tablet or chewable tablet </w:t>
      </w:r>
      <w:r w:rsidRPr="00F6325E">
        <w:rPr>
          <w:i/>
        </w:rPr>
        <w:t>(packets are not reimbursable)</w:t>
      </w:r>
    </w:p>
    <w:p w:rsidR="00F6325E" w:rsidRDefault="00F6325E">
      <w:r>
        <w:t>Terbutaline</w:t>
      </w:r>
    </w:p>
    <w:p w:rsidR="00F6325E" w:rsidRDefault="00F6325E">
      <w:r>
        <w:t>Theophylline ER tablet or oral solution</w:t>
      </w:r>
    </w:p>
    <w:p w:rsidR="00092096" w:rsidRDefault="00092096">
      <w:r>
        <w:t>Wixela Inhub</w:t>
      </w:r>
    </w:p>
    <w:p w:rsidR="00F6325E" w:rsidRPr="00DC69D7" w:rsidRDefault="00F6325E">
      <w:r>
        <w:t>Zafirlukast</w:t>
      </w:r>
    </w:p>
    <w:sectPr w:rsidR="00F6325E" w:rsidRPr="00DC69D7" w:rsidSect="00DC69D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50" w:rsidRDefault="00C15D50" w:rsidP="00C15D50">
      <w:r>
        <w:separator/>
      </w:r>
    </w:p>
  </w:endnote>
  <w:endnote w:type="continuationSeparator" w:id="0">
    <w:p w:rsidR="00C15D50" w:rsidRDefault="00C15D50" w:rsidP="00C1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EA9" w:rsidRDefault="001D5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50" w:rsidRDefault="00A052C2">
    <w:pPr>
      <w:pStyle w:val="Footer"/>
    </w:pPr>
    <w:r>
      <w:tab/>
    </w:r>
    <w:r>
      <w:tab/>
      <w:t>MS</w:t>
    </w:r>
    <w:r w:rsidR="00570BB9">
      <w:t xml:space="preserve"> </w:t>
    </w:r>
    <w:r w:rsidR="00C52ADC">
      <w:t>0</w:t>
    </w:r>
    <w:r w:rsidR="004A5BF4">
      <w:t>8/05</w:t>
    </w:r>
    <w:r w:rsidR="00C52ADC">
      <w:t>/2022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EA9" w:rsidRDefault="001D5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50" w:rsidRDefault="00C15D50" w:rsidP="00C15D50">
      <w:r>
        <w:separator/>
      </w:r>
    </w:p>
  </w:footnote>
  <w:footnote w:type="continuationSeparator" w:id="0">
    <w:p w:rsidR="00C15D50" w:rsidRDefault="00C15D50" w:rsidP="00C15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EA9" w:rsidRDefault="001D5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EA9" w:rsidRDefault="001D5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EA9" w:rsidRDefault="001D5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D4"/>
    <w:rsid w:val="00092096"/>
    <w:rsid w:val="001D5EA9"/>
    <w:rsid w:val="00343A3A"/>
    <w:rsid w:val="003921D5"/>
    <w:rsid w:val="003948C9"/>
    <w:rsid w:val="003A0F81"/>
    <w:rsid w:val="003E7927"/>
    <w:rsid w:val="004A5BF4"/>
    <w:rsid w:val="00517145"/>
    <w:rsid w:val="00570BB9"/>
    <w:rsid w:val="005C0F74"/>
    <w:rsid w:val="005F3E6D"/>
    <w:rsid w:val="00620266"/>
    <w:rsid w:val="00691B2F"/>
    <w:rsid w:val="007036F4"/>
    <w:rsid w:val="008372AF"/>
    <w:rsid w:val="008608C3"/>
    <w:rsid w:val="008972F2"/>
    <w:rsid w:val="009005F5"/>
    <w:rsid w:val="00953983"/>
    <w:rsid w:val="00982CC9"/>
    <w:rsid w:val="00A052C2"/>
    <w:rsid w:val="00A1404A"/>
    <w:rsid w:val="00A709D4"/>
    <w:rsid w:val="00B370FC"/>
    <w:rsid w:val="00C15D50"/>
    <w:rsid w:val="00C52ADC"/>
    <w:rsid w:val="00C83F12"/>
    <w:rsid w:val="00C848B2"/>
    <w:rsid w:val="00CA3705"/>
    <w:rsid w:val="00D34F00"/>
    <w:rsid w:val="00D821B0"/>
    <w:rsid w:val="00DA0E76"/>
    <w:rsid w:val="00DA2238"/>
    <w:rsid w:val="00DC69D7"/>
    <w:rsid w:val="00DF5626"/>
    <w:rsid w:val="00E365D3"/>
    <w:rsid w:val="00E44CE8"/>
    <w:rsid w:val="00EE55DF"/>
    <w:rsid w:val="00F1778D"/>
    <w:rsid w:val="00F409BE"/>
    <w:rsid w:val="00F6325E"/>
    <w:rsid w:val="00FA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BD1B940-72C1-404E-95BD-66C55754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8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8C3"/>
    <w:rPr>
      <w:color w:val="0563C1"/>
      <w:u w:val="single"/>
    </w:rPr>
  </w:style>
  <w:style w:type="paragraph" w:styleId="Header">
    <w:name w:val="header"/>
    <w:basedOn w:val="Normal"/>
    <w:link w:val="HeaderChar"/>
    <w:uiPriority w:val="99"/>
    <w:unhideWhenUsed/>
    <w:rsid w:val="00C15D50"/>
    <w:pPr>
      <w:tabs>
        <w:tab w:val="center" w:pos="4680"/>
        <w:tab w:val="right" w:pos="9360"/>
      </w:tabs>
    </w:pPr>
  </w:style>
  <w:style w:type="character" w:customStyle="1" w:styleId="HeaderChar">
    <w:name w:val="Header Char"/>
    <w:basedOn w:val="DefaultParagraphFont"/>
    <w:link w:val="Header"/>
    <w:uiPriority w:val="99"/>
    <w:rsid w:val="00C15D50"/>
    <w:rPr>
      <w:rFonts w:ascii="Calibri" w:hAnsi="Calibri" w:cs="Calibri"/>
    </w:rPr>
  </w:style>
  <w:style w:type="paragraph" w:styleId="Footer">
    <w:name w:val="footer"/>
    <w:basedOn w:val="Normal"/>
    <w:link w:val="FooterChar"/>
    <w:uiPriority w:val="99"/>
    <w:unhideWhenUsed/>
    <w:rsid w:val="00C15D50"/>
    <w:pPr>
      <w:tabs>
        <w:tab w:val="center" w:pos="4680"/>
        <w:tab w:val="right" w:pos="9360"/>
      </w:tabs>
    </w:pPr>
  </w:style>
  <w:style w:type="character" w:customStyle="1" w:styleId="FooterChar">
    <w:name w:val="Footer Char"/>
    <w:basedOn w:val="DefaultParagraphFont"/>
    <w:link w:val="Footer"/>
    <w:uiPriority w:val="99"/>
    <w:rsid w:val="00C15D5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3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mployeehealthplan.clevelandclinic.org/EmployeeHealthPlan/media/CCF-EHP/Coordinated%20Care/Coordinated-Care-Incentive-FAQ-for-2022-V3.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Sorgi, Meghan</dc:creator>
  <cp:keywords/>
  <dc:description/>
  <cp:lastModifiedBy>Brodman, Ryan</cp:lastModifiedBy>
  <cp:revision>2</cp:revision>
  <dcterms:created xsi:type="dcterms:W3CDTF">2022-08-05T21:14:00Z</dcterms:created>
  <dcterms:modified xsi:type="dcterms:W3CDTF">2022-08-05T21:14:00Z</dcterms:modified>
</cp:coreProperties>
</file>